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14.10.2020 заявленные требования удовлетворены. Постановлением Восьмого арбитражного апелляционного суда от 26.01.2021, оставленным без изменения постановлением Арбитражного суда Западно-Сибирского округа от 13.04.2021, решение суда первой инстанции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материального права, просит отменить постановления судов апелляционной инстанции и округа.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фондом на официальном сайте размещено извещение № 080050000062000128 о проведении электронного аукциона на выполнение работ по оценке технического состояния многоквартирного дома, разработке проектной документации на проведение капитального ремонта общего имущества многоквартирных домов, в том числе на ремонт (замену, модернизацию) лифтов, а также выполнение работ по ремонту, замене, модернизации лифтов, ремонту лифтовых шахт, машинных и блочных помещений. Победителем электронного аукциона признано общество. Обществом фонду направлена банковская гарантия от 30.07.2020 № 14337-20-10, выданная ПАО «Промсвязьбанк», рассмотрев которую заказчик признал ее несоответствующей требованиям, содержащимся в документации об электронном аукционе и проекте договора, составил акт от 06.08.2020 об уклонении победителя электронного аукциона от заключения договора в связи с непредставлением обеспечения исполнения обязательств по договору в срок, предусмотренный документацией об электронном аукционе (подпункт «е» пункта 214 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утвержденного постановлением Правительства Российской Федерации от 01.07.2016 № 615 (далее - Положение № 615). Не согласившись с указанными действиями фонда, общество обратилось в антимонопольный орган с жалобой. По результатам рассмотрения жалобы антимонопольным органом принято решение о признании ее частично обоснованной, при этом указано на неправомерность включения в банковскую гарантию условия о необходимости получения гарантом требования бенефициара до окончания срока действия гарантии, поскольку такое условие противоречит пункту 1 статьи 165.1, пункту 2 статьи 194, пункту 2 статьи 374 Гражданского кодекса Российской Федерации (далее - Гражданский кодекс). 3 На основании решения управления фонду выдано предписание об отмене акта об уклонении победителя аукциона от заключения договора от 06.08.2020 в части подпункта 1 пункта 5. Не согласившись с решением и предписанием управления в части, общество обратилось в арбитражный суд. Удовлетворяя заявленные требования, суд первой инстанции исходил из того, что решение антимонопольного органа в оспариваемой части и выданное на его основе предписание являются недействительными, поскольку представленная обществом фонду банковская гарантия соответствовала требованиям действующего законодательства. Отменяя решение суда первой инстанции, суд апелляционной инстанции пришел к выводу о законности ненормативных правовых актов управления в оспариваемой части, с чем согласился суд округа. Проанализировав положения статей 165.1, 194, 368, 369 и 374 Гражданского кодекса и принимая во внимание правовую позицию Верховного Суда Российской Федерации, изложенную в пункте 4 Обзора судебной практики разрешения споров, связанных с применением законодательства о независимой гарантии, утвержденного Президиумом Верховного Суда Российской Федерации 05.06.2019, согласно которой требование бенефициара должно быть представлено гаранту до окончания определенного в гарантии срока и считается представленным своевременно, если оно направлено гаранту в пределах срока действия гарантии, суды указали на неправомерность включения в банковскую гарантию условия о необходимости получения гарантом требования бенефициара до окончания срока гарантии. Кроме того, суды пришли к выводу о том, что представление надлежащего обеспечения за пределами срока для предоставления обеспечения обязательств не свидетельствует о соблюдении порядка заключения договора.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«Импорт-Лифт»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