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23.03.2020, оставленным без изменения постановлениями Девятого арбитражного апелляционного суда от 16.09.2020 и Арбитражного суда Московского округа от 22.03.2021, иск удовлетворен частично, с общества в пользу министерства взыскана неустойка в размере 70 910 000 рублей. В удовлетворении остальной части иска отказано. 2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Основанием для обращения в арбитражный суд с настоящим иском послужило нарушение обществом срока исполнения обязательства по государственному контракту от 21.07.2003 на выполнение опытно-конструкторской работы для нужд министерства в 2003-2017 годах. Оценив представленные в материалы дела доказательства, суды, руководствуясь положениями статей 309, 310, 330, 333, 702, 708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 учетом обстоятельств, установленных по результатам рассмотрения дела № А40-56057/2017, пришли к выводу о наличии оснований для возложения на ответчика 3 гражданско-правовой ответственности в виде выплаты неустойки, при этом произвели ее перерасчет. Судебные инстанции исходили из наличия просрочки общества в исполнении обязательств по контракту, при этом усмотрели основания для признания заявленной ко взысканию неустойки несоразмерной последствиям нарушения обязательства.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оценку. С учетом изложенного, приведенные в жалобе доводы, не свидетельствуют о существенных нарушениях судами норм материального и процессуального права, повлиявших на исход дела,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«Авиационная холдинговая компания «Сухой»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