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30.07.2020, оставленным без изменения постановлением Девятого арбитражного апелляционного суда от 25.11.2020 и постановлением Арбитражного суда Московского округа от 22.03.2021,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в отношении общества проведена выездная налоговая проверка за период с 01.01.2014 по 31.12.2015. По результатам проверки инспекцией составлен акт от 04.12.2018 № 16-13/27272548 и вынесено решение от 29.04.2019 № 16-13/30771125 об отказе в привлечении к ответственности за совершение налогового правонарушения, которым доначислено 12 016 580 рублей налога на добавленную стоимость (далее - НДС) и 334 361 рубль пени. Основанием для доначисления налога послужил вывод налогового органа о неправомерном применении налоговых вычетов по счетам-фактурам, выставленным от имени ООО «Норд Стайл Транс». Не согласившись с решением инспекции, общество обратилось в арбитражный суд. Отказывая в удовлетворении требования, суд первой инстанции, исследовав и оценив представленные в материалы дела доказательства, руководствуясь положениями статей 54.1, 169, 171, 172 Налогового кодекса Российской Федерации (далее - Налоговый кодекс), правовой позицией, изложенной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пришел к выводу, что решение налогового органа соответствует положениям действующего законодательства и не нарушает права и законные интересы общества, с чем согласились суды апелляционной инстанции и округа. Суды указали, что общество в проверяемый период в нарушение подпункта 2 пункта 2 статьи 54.1 Налогового кодекса заявило вычеты по указанному контрагенту без достаточных оснований, поскольку сделки с ним не имеют разумной хозяйственной (деловой) цели, а направлены на получение налоговой экономии в виде неполной уплаты в бюджет НДС; налогоплательщик использовал формальный документооборот, поскольку фактически заявленные услуги выполнялись иными лицами. Доводы, изложенные в кассационной жалобе, в том числе об обоснованности применения положений статьи 54.1 Налогового кодекса, являлись предметом рассмотрения судов, не свидетельствуют о нарушении судами норм материального и процессуального права, повлиявших на исход дела. 3 Указанные доводы общества основаны на несогласии с выводами судов и неправильном толковании применительно к ним положений законодательства, что не может служить основанием для отмены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«Газпромтранс»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