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09.10.2020, оставленным без постановлением Девятого арбитражного апелляционного суда от 20.01.2021 и постановлением Арбитражного суда Московского округа от 19.04.2021, в удовлетворении заявленных требований отказано. В кассационной жалобе, поданной в Верховный Суд Российской Федерации, организация,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соответствующий арбитражный суд.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договоров аренды, руководствуясь статьями 166, 167, 309, 310, 421, 450.1 Гражданского кодекса Российской Федерации, разъяснениями, изложенными в постановлении Пленума Верховного Суда Российской Федерации от 22.11.2016 № 54 «О некоторых вопросах применения общих положений Гражданского кодекса Российской Федерации об обязательствах и их исполнении», суды первой и апелляционной инстанций пришли к выводу об отсутствии оснований для признания односторонних отказов ответчика от договоров аренды недействительными, исходя из того, что эти отказы соответствуют условиям названных договоров и требованиям закона. Суд округа согласился с выводами судов первой и апелляционной инстанций.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автономной некоммерческой организации «Детско-юношеская спортивная школа «Крылья»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