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19.08.2020 в удовлетворении иска отказано. Постановлением Девятого арбитражного апелляционного суда от 25.11.2020 решение суда первой инстанции отменено, иск удовлетворен. Постановлением Арбитражного суда Московского округа от 12.03.2021 постановление суда апелляционной инстанции оставлено без изменения. В кассационной жалобе, поданной в Верховный Суд Российской Федерации, общество просит отменить постановления судов апелляционной инстанции и округа как принятые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удовлетворяя иск, суд апелляционной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руководствовался статьями 330, 421, 426 Гражданского кодекса Российской Федерации, статьями 155, 162 Жилищного кодекса Российской Федерации, постановлением Правительства Российской Федерации от 12.11.2016 № 1156 «Об обращении с твердыми коммунальными отходами и внесении изменения в постановление Правительства Российской Федерации от 25.08.2008 № 641» и исходил из правомерности начисления неустойки за нарушение обществом срока оплаты оказанных компанией услуг. Суд округа поддержал выводы апелляционного суда. Доводы кассационной жалобы не опровергают выводы названных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«Элитстрой»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