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24.08.2020, оставленным без изменения постановлением Девятого арбитражного апелляционного суда от 04.12.2020 и постановлением Арбитражного суда Московского округа от 25.03.2021,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исковых требований, суды руководствовались статьями 196, 199, 200, 309, 310, 330, 702, 783 Гражданского кодекса Российской Федерации и исходили из пропуска обществом срока исковой давности, о чем было заявлено ответчиком. Доводы заявителя об ином моменте начала течения срока исковой давности по существу касаются доказательственной стороны спора, исследование и оценка которой в силу части 3 статьи 291.14 Арбитражного процессуального кодекса Российской Федерации не относится к компетенции Верховного Суда Российской Федерации. Приведенные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«ППФ ПРОМЭНЕРГОПРОЕКТ»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