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21.08.2020, оставленным без изменения постановлением Девятого арбитражного апелляционного суда от 11.12.2020 и постановлением Арбитражного суда Московского округа от 05.04.2021,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А40-256233/2018, руководствуясь статьями 15, 309, 310, 393 Гражданского кодекса Российской Федерации, суды первой и апелляционной инстанций, с которыми впоследствии согласился суд округа, признали заявленные требования подлежащими удовлетворению, исходя из доказанности компанией совокупности условий, необходимых для привлечения общества к ответственности в виде взыскания убытков. С учетом установленных обстоятельств по делу суды не усмотрели оснований для применения срока исковой давности по заявлению ответчика.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«Главная линия»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