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13.10.2020, оставленным без изменения постановлением Одиннадцатого арбитражного апелляционного суда от 25.12.2020 и постановлением Арбитражного суда Поволжского округа от 22.03.2021,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иска либо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признали договор заключенным и, проанализировав его условия, установив факт надлежащего уведомления общества (покупатель) о готовности товара к отгрузке и несовершения им соответствующих действий в установленный срок, пришли к выводу об исполнении компанией (поставщик) обязанности по передаче товара и, руководствуясь статьями 309, 310, 432, 433, 434, 435, 438, 458, 510, 515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удовлетворили заявленные требования, с чем впоследствии согласился суд округа. Приведенные в кассационной жалобе доводы сводятся к изложению обстоятельств дела, которые были предметом исследования судов, получили правовую оценку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«Респект70»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