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21.10.2020 заявленные требования удовлетворены. Постановлением Восьмого арбитражного апелляционного суда от 15.01.2021, оставленным без изменения постановлением Арбитражного суда Западно-Сибирского округа от 22.04.2021, решение суда первой инстанции отменено,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материального права, просит отменить постановления судов апелляционной инстанции и округа.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фондом на официальном сайте размещено извещение № 080050000062000131 о проведении электронного аукциона на выполнение работ по оценке технического состояния многоквартирного дома, разработке проектной документации на проведение капитального ремонта общего имущества многоквартирных домов, в том числе на ремонт (замену, модернизацию) лифтов, а также выполнение работ по ремонту, замене, модернизации лифтов, ремонту лифтовых шахт, машинных и блочных помещений. Победителем электронного аукциона признано общество. Обществом направлена фонду банковская гарантия от 30.07.2020 № 14346-20-10, выданная ПАО «Промсвязьбанк», рассмотрев которую заказчик признал ее несоответствующей требованиям, содержащимся в документации об электронном аукционе и проекте договора, составил акт от 06.08.2020 об уклонении победителя электронного аукциона от заключения договора в связи с непредставлением обеспечения исполнения обязательств по договору в срок, предусмотренный документацией об электронном аукционе (подпункт «е» пункта 214 Положения о привлечении специализированной некоммерческой организацией, осуществляющей деятельность, направленную на обеспечение проведения капитального ремонта общего имущества в многоквартирных домах, подрядных организаций для оказания услуг и (или) выполнения работ по капитальному ремонту общего имущества в многоквартирном доме, утвержденного постановлением Правительства Российской Федерации от 01.07.2016 № 615 (далее - Положение № 615). Не согласившись с указанными действиями фонда, общество обратилось в антимонопольный орган с жалобой, по результатам рассмотрения которой антимонопольным органом принято решение о признании жалобы частично обоснованной. При этом управление указало на неправомерность включения в банковскую гарантию условия о необходимости получения гарантом требования бенефициара до окончания срока действия гарантии, поскольку такое условие противоречит пункту 1 статьи 165.1, пункту 2 статьи 194, пункту 2 статьи 374 Гражданского кодекса Российской Федерации (далее - Гражданский кодекс). 3 На основании решения управления фонду выдано предписание об отмене акта об уклонении победителя аукциона от заключения договора от 06.08.2020 в части подпункта 1 пункта 5. Не согласившись с решением и предписанием управления в части, общество обратилось в арбитражный суд. Удовлетворяя заявленные требования, суд первой инстанции исходил из того, что решение антимонопольного органа в оспариваемой части и предписание являются недействительными, поскольку представленная обществом фонду банковская гарантия соответствовала требованиям действующего законодательства. Отменяя решение суда первой инстанции, суд апелляционной инстанции пришел к выводу о законности ненормативных правовых актов управления в оспариваемой части, с чем согласился суд округа. Проанализировав положения статей 165.1, 194, 368, 369 и 374 Гражданского кодекса и принимая во внимание правовую позицию Верховного Суда Российской Федерации, изложенную в пункте 4 Обзора судебной практики разрешения споров, связанных с применением законодательства о независимой гарантии, утвержденного Президиумом Верховного Суда Российской Федерации 05.06.2019, согласно которой требование бенефициара должно быть представлено гаранту до окончания определенного в гарантии срока и считается представленным своевременно, если оно направлено гаранту в пределах срока действия гарантии, суды указали на неправомерность включения в банковскую гарантию условия о необходимости получения гарантом требования бенефициара до окончания срока гарантии. Кроме того, суды пришли к выводу о том, что представление надлежащего обеспечения за пределами срока для предоставления обеспечения обязательств не свидетельствует о соблюдении порядка заключения договора.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«Импорт-Лифт»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