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11.11.2020 заявленные требования удовлетворены. Постановлением Восьмого арбитражного апелляционного суда от 22.01.2021 решение суда первой инстанции отменено, в удовлетворении заявления отказано. Арбитражный суд Западно-Сибирского округа постановлением от 13.04.2021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право заключения договора на оказание услуг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в том числе на ремонт (замену, модернизацию) лифтов, а также выполнение работ по ремонту, замене, модернизации лифтов, ремонту лифтовых шахт, машинных и блочных помещений, в связи с чем в адрес фонда (заказчик) обществом направлена банковская гарантия от 30.07.2020 № 14341-20-10. Рассмотрев представленную банковскую гарантию, заказчик признал ее несоответствующей требованиям, содержащимся в документации об электронном аукционе и проекте договора, составил акт от 06.08.2020 об уклонении победителя электронного аукциона от заключения договора в связи с непредставлением обеспечения исполнения обязательств по договору в срок, предусмотренный документацией об электронном аукционе (подпункт «е» пункта 214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 615 (далее – Положение № 615). По результатам рассмотрения жалобы общества на указанные действия заказчика, антимонопольным органом принято решение о признании жалобы частично обоснованной. При этом управление указало на неправомерность включения в банковскую гарантию от 30.07.2020 условия о необходимости получения гарантом требования бенефициара до окончания срока действия гарантии, поскольку такое условие противоречит пункту 1 статьи 165.1 , пункту 2 статьи 194 , пункту 2 статьи 374 Гражданского кодекса Российской Федерации (далее – Гражданский кодекс). На основании решения управления фонду выдано предписание об отмене акта об уклонении победителя аукциона от заключения договора от 06.08.2020 в части подпункта 1 пункта 5. Не согласившись с решением управления в части признания обоснованным подпункта 2 пункта 5 акта об уклонении от 06.08.2020 и предписанием, общество обратилось в арбитражный суд. Удовлетворяя заявленные требования, суд первой инстанции исходил из того, что решение антимонопольного органа в оспариваемой части и выданное на его основе предписание являются недействительными, поскольку представленная обществом фонду банковская гарантия соответствовала требованиям действующего законодательства. Отменяя решение суда первой инстанции, суд апелляционной инстанции пришел к выводу о законности ненормативных правовых актов управления в оспариваемой части, с чем согласился суд округа. Проанализировав положения статей 165.1 , 194 , 368 , 369 и 374 Гражданского кодекса и принимая во внимание правовую позицию Верховного Суда Российской Федерации, изложенную в пункте 4 Обзора судебной практики разрешения споров, связанных с применением законодательства о независимой гарантии, утвержденного Президиумом Верховного Суда Российской Федерации 05.06.2019, согласно которой требование бенефициара должно быть представлено гаранту до окончания определенного в гарантии срока и считается представленным своевременно, если оно направлено гаранту в пределах срока действия гарантии, суды указали на неправомерность включения в банковскую гарантию условия о необходимости получения гарантом требования бенефициара до окончания срока гарантии. Кроме того, суды пришли к выводу о том, что представление надлежащего обеспечения за пределами срока для предоставления обеспечения обязательств не свидетельствует о соблюдении порядка заключения договора.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«Импорт-Лифт»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"Импорт-Лифт" (подробнее) Ответчики: Управление Федеральной антимонопольной службы по Омской области (подробнее) Иные лица: Некоммерческая организация "Региональный фонд капитального ремонта многоквартирных домов" (подробнее) НО "Региональный фонд капитального ремонта многоквартирных домов" (подробнее) Региональный фрнд капитального ремонта многоквартирных домов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