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Московской области с иском к обществу с ограниченной ответственностью «УРСА Евразия» (далее - компания) об обязании в течение 10 дней с даты вступления решения суда в законную силу демонтировать электрические и оптоволоконные кабели, размещенные на внешней стороне стены объекта незавершенного строительства с кадастровым номером 50:58:0030301:249, расположенного по адресу: Московская обл., г. Серпухов, Московское ш., д. 96. Решением Арбитражного суда Московской области от 11.03.2020, оставленным без изменения постановлением Десятого арбитражного апелляционного суда от 03.09.2020, исковые требования удовлетворены. Общество обратилось в суд первой инстанции с заявлением о взыскании с компании 195 000 руб. судебных расходов. Определением Арбитражного суда Московской области от 23.11.2020, оставленным без изменения постановлением Десятого арбитражного апелляционного суда от 18.02.2021 и постановлением Арбитражного суда Московского округа от 21.05.2021, с компании в пользу общества взыскано 45 000 руб. судебных расходов,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просит 2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110, 112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степень сложности дела, объем выполненной представителем работы, признали соответствующей критерию разумности сумму судебных расходов в размере 45 000 руб. С указанными выводами впоследствии согласился суд округа. Доводы кассационной жалобы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«Русспорт»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