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«Строительное управление № 267» обратилось в Арбитражный суд города Санкт-Петербурга и Ленинградской области с иском к обществу о взыскании 5 655 553 руб. 25 коп. убытков. Решением Арбитражного суда города Санкт-Петербурга и Ленинградской области иск удовлетворен. Постановлением Тринадцатого арбитражного апелляционного суда от 05.11.2020 решение суда первой инстанции отменено, в удовлетворении иска отказано. Постановлением Арбитражного суда Северо-Западного округа от 17.03.2021 постановление суда апелляционной инстанции отменено, дело направлено на новое рассмотрение в Тринадцатый арбитражный апелляционный суд. В кассационной жалобе, поданной в Верховный Суд Российской Федерации, общество просит отменить постановление суда округа как принятое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постановление суда апелляционной инстанции и направляя дело на новое рассмотрение, суд округа, не принимая судебного акта по существу спора, указал на то, что судом неправильно применены нормы материального права, ошибочно распределено бремя доказывания между участвующими в деле лицами и не исследованы существенные для правильного разрешения спора обстоятельства.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«Комкор»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