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01.07.2021 в электронном виде в Верховный Суд Российской Федерации была направлена кассационная жалоба и заявлено ходатайство о восстановлении пропущенного процессуального срока. В качестве причины пропуска срока на подачу жалобы департамент указывает, что копия постановления окружного суда поступила в его адрес 02.05.2021. В соответствии с частями 1,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Названные положения введены в действие 2 Федеральным законом от 28.06.2014 № 186-ФЗ «О внесении изменений в Арбитражный процессуальный кодекс Российской Федерации». Последним обжалуемым судебным актом по данному делу является постановление Арбитражного суда Волго-Вятского округа от 26.04.2021 и, следовательно, на дату направления департаментом жалобы в Верховный Суд Российской Федерации, установленный законом двухмесячный срок на обжалование, истек.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Кодекса, предельный допустимый срок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Рассмотрев ходатайство о восстановлении пропущенного процессуального срока подачи кассационной жалобы, судья не находит оснований для его удовлетворения исходя из следующего. В соответствии с пунктом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первой (апелляционной) инстанции судебного акта в полном объеме. Таким образом, предусмотренный действующим арбитражно- процессуальным законодательством срок на обжалование судебных актов исчисляется с даты принятия последнего обжалуемого судебного акта и не ставится в зависимость от момента фактического получения его копии участвующими в деле лицами. Департамент являлся инициатором судебного разбирательства и обжалования судебных актов судов первой и апелляционной инстанций; постановление суда округа от 26.04.2020 своевременно (27.04.2020) опубликовано в общедоступной базе электронных документов «Картотека арбитражных дел» в сети Интернет. Как указывает сам заявитель, копия постановления суда округа поступила в его адрес 02.05.2021. Таким образом, у заявителя было достаточно времени для подготовки и подачи кассационной жалобы до истечения двухмесячного срока на обжалование (до 28.06.2021). Однако причин, объективно препятствующих заявителю обратиться с настоящей жалобой в установленный законом срок, не приведено. 3 Лица, участвующие в деле, несут риск наступления последствий совершения или несовершения ими процессуальных действий (часть 2 статьи 9 Кодекса). Таким образом, кассационная жалоба не может быть принята для рассмотрения по существу и подлежит возврату заявителю без рассмотрения по существу в соответствии с пунктом 3 части 1 статьи 291.5 Кодекса. Руководствуясь статьями 117, 184, 185, 291.2, 291.5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имущественных и земельных отношений администрации Владимирской области в удовлетворении ходатайства о восстановлении пропущенного процессуального срока на подачу кассационной жалобы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