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27.08.2020, оставленным без изменения постановлением Девятого арбитражного апелляционного суда от 13.11.2020 и постановлением Арбитражного суда Московского округа от 12.03.2021, в удовлетворении искового заявления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предписанием Ространснадзора №52.0010.07.16 от 15.07.2016 введен запрет на эксплуатацию железнодорожных вагонов №№53788576, 53788592, 58011263, 58013178, 58013186, 58013194, 58013202, 58013210, 58013228, 58013236, 58013244, 58013251, 58013269, 58013277, 58013285, 58013293, 58013301, 58013319, 58013327, 58013376, 58013384, арендуемых истцом. Решением Арбитражного суда города Москвы от 28.12.2016 по делу №А40-207791/16 предписание Ространснадзора от 15.07.2016 №52.0010.07.16 признано недействительным. В связи с запретом эксплуатации арендованных вагонов истец понес убытки в виде расходов на подачу и уборку вагонов, на транспортные услуги по перевозке порожних вагонов, отстой собственного подвижного состава, маневровую работу локомотива и иные расходы в размере 551 988 рублей 75 копеек. Кроме того, за период запрета эксплуатации вагонов истец не получал прибыли от эксплуатации вагонов, что привело к убыткам в виде упущенной выгоды в размере 4 874 936 рублей 75 копеек. Неисполнение Ространснадзором претензии послужило основанием для обращения общества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пришли к выводу об отсутствии оснований для удовлетворения искового заявления, с чем согласился суд округа. 3 Судебные инстанции согласились с доводами истца о наличии у него убытков в результате незаконных действий ответчика, вместе с тем установили пропуск срока исковой давности на обращение в суд с заявленными исковыми требованиями, указав, что срок исковой давности по заявленным требованиям истек 28.01.2020, исковое заявление подано 27.02.2020.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основаны на ином толковании норм гражданского законодательства, в связи с чем не могут служить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«Транспортная Группа Траско»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