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05.08.2020, оставленным без изменения постановлением Девятого арбитражного апелляционного суда от 26.11.2020 и постановлением Арбитражного суда Московского округа от 11.03.2021,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Как следует из судебных актов, исковые требования общества (исполнитель) мотивированы неисполнением компанией (заказчик) обязательств по оплате услуг, оказанных в рамках договора от 15.04.2016 № 042-02/16-К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руководствуясь статьями 309, 310, 779, 781 Гражданского кодекса Российской Федерации, суды первой и апелляционной инстанций пришли к выводу о недоказанности обществом обстоятельств, на которых основаны исковые требования, и отказали в их удовлетворении. С указанными выводами впоследствии согласился суд округа. Приведенные в кассационной жалобе доводы по существу свидетельствуют о несогласии с выводами судов, основанными на оценке представленных в материалы дела доказательств и фактических обстоятельств спора, при этом существенных нарушений норм материального и процессуального права, которые могли повлиять на исход дела, доводы жалобы не подтверждают, в связи с чем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«Докфлоу БестПрактис»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