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25.11.2020, оставленным без изменения постановлением Третьего арбитражного апелляционного суда от 23.01.2021 и постановлением Арбитражного суда Восточно-Сибирского округа от 01.04.2021, заявление удовлетворено. 2 В кассационной жалобе, поданной в Верховный Суд Российской Федерации, служба,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в 2019 году общество как собственник нежилого помещения, расположенного в торговом комплексе «Вавилон» обращалось в службу, сообщая о проведенных собственником помещений Зыряновым А.С. работ по реконструкции здания (частичный демонтаж лестничных маршей, замена несущих строительных конструкций - части межэтажного перекрытия, разрушение несущей стены, с целью создания из окна дверного проёма), и просило в целях недопущения возникновения чрезвычайных ситуаций при эксплуатации здания провести проверку законности проведения реконструкции здания. По результатам рассмотрения обращений службой в письмах № 10-18090/11000 и № 06-13542 сообщено, что споры, связанные со строительными работами, не являющимися реконструкцией, могут быть разрешены по соглашению заинтересованных лиц, а при не достижении согласия в судебном порядке; не могут быть приняты меры, направленные на приведение конструкций здания в исходное состояние и восстановление его эксплуатационных характеристик; о фактах, изложенных в письме общества, проинформирована администрация Свердловского района города Красноярска для принятия необходимых мер. Считая незаконным бездействие службы, выразившееся в непроведении выездной проверки по обращениям, общество обратилось в арбитражный суд. Удовлетворяя заявление, суды первой и апелляционной инстанций, руководствуясь положениями Градостроительного кодекса Российской Федерации (далее - Градостроительный кодекс), Федерального закона от 06.10.2003 № 131-ФЗ «Об общих принципах организации местного самоуправления в Российской Федерации», Федерального закона от 30.12.2009 № 384-ФЗ «Технический регламент о безопасности зданий и сооружений», исходили из наличия у службы обязанности провести выездную проверку на основании обращений общества в целях установления или опровержения факта 3 замены несущих строительных конструкций, изменения объема здания путем демонтажа несущей стены, а также необходимости (отсутствия необходимости) получения разрешения на проведение соответствующих работ. Суды указали на нарушение таким бездействием прав и интересов общества, как одного из собственников части данного здания, возложив обязанность устранить допущенные нарушения прав и законных интересов заявителя путем осуществления государственного строительного надзора в форме выездной проверки в отношении спорного объекта в порядке, предусмотренном статьей 54 Градостроительного кодекса. Суд округа поддержал выводы судебных инстанций. Ссылка службы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настоящего спора. Иные доводы службы,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основаны на ином толковании норм права,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Службе строительного надзора и жилищного контроля Красноярского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