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23.10.2020, оставленным без изменения постановлением Девятого арбитражного апелляционного суда от 18.12.2020 и постановлением Арбитражного суда Московского округа от 11.03.2021, исковое заявление общества оставлено без рассмотрения.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обжалуемых судебных актов и доводов кассационной жалобы не усматривается. Установив наличие третейской оговорки в договоре субподряда от 25.02.2014 № 20130639, об исполнении которого предъявлен иск, учитывая возражения ответчика в отношении рассмотрения дела в арбитражном суде, руководствуясь пунктом 5 части 1 статьи 148 Арбитражного процессуального кодекса Российской Федерации, суды оставили иск без рассмотрения. Банкротство истца не препятствует третейскому разбирательству, расходы на которое признаны судами имеющимися у истца. Доводы, которые бы свидетельствовали о наличии в обжалуемых судебных актах существенных нарушений норм права, повлиявших на исход дела, заявителем не приведены, в связи с чем основания для передачи кассационной жалобы для рассмотрения в судебном заседании отсутствуют.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«Астерос»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