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03.11.2020, оставленным без изменения постановлением Пятого арбитражного апелляционного суда от 19.01.2021 и постановлением Арбитражного суда Дальневосточного округа от 09.04.2021, в удовлетворении исковых требований отказано.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принять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предприниматель (арендодатель) не подтвердил наличие предусмотренных статьями 450, 451 Гражданского кодекса Российской Федерации оснований для расторжения спорного договора, суды первой и апелляционной инстанций отказали в удовлетворении заявленных требований, с чем впоследствии согласился суд округа. Приведенные в кассационной жалобе доводы сводятся к изложению обстоятельств дела, которые были предметом исследования судов, получили правовую оценку и мотивированно отклонены, не опровергают выводы судов, не подтверждают существенных нарушений судами норм материального и (или)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Хлызова Павла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