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21.07.2020, оставленным без изменения постановлением Девятого арбитражного апелляционного суда от 23.11.2020 и постановлением Арбитражного суда Московского округа от 11.03.2021, с общества в пользу корпорации взыскано 85 487 870 руб. 28 коп.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руководствуясь статьями 307, 309, 310, 330, 431 Гражданского кодекса Российской Федерации, разъяснениями, изложенными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нарушения обществом срока выполнения работ по договору, суды первой и апелляционной инстанций пришли к выводу о наличии оснований для взыскания с общества неустойки, снизив ее размер по ходатайству последнего в соответствии со статьей 333 Гражданского кодекса Российской Федерации. Суд округа согласился с выводами судов первой и апелляционной инстанций. Приведенные в кассационной жалобе доводы не опровергают выводы судов,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«Информационные спутниковые системы» имени академика М.Ф. Решетнёва»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