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09.06.2020, оставленным без изменения постановлением Десятого арбитражного апелляционного суда от 15.10.2020 и постановлением Арбитражного суда Московского округа от 01.04.2021, в удовлетворении заявления отказано. В кассационной жалобе, поданной в Верховный Суд Российской Федерации, предприниматель, ссылаясь на существенное нарушение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2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установлено судами, управлением в период с 18.11.2019 по 22.11.2019 проведена внеплановая выездная проверка деятельности предпринимателя по вопросам соблюдения обязательных требований Российской Федерации в области обеспечения транспортной безопасности при выполнении перевозки пассажиров по маршруту «г. Москва - г. Кольчугино». В ходе проверки установлены нарушения Требований по обеспечению транспортной безопасности, утвержденных постановлением Правительства Российской Федерации от 14.09.2016 № 924 (далее - Требования по обеспечению транспортной безопасности), составлен акт от 22.11.2019 и вынесено предписание об устранении выявленных нарушений. Не согласившись с предписанием управления, предприниматель обратился в арбитражный суд. Отказывая в удовлетворении заявления, суд первой инстанции, руководствуясь положениями Федерального закона «О транспортной безопасности» (далее - Закона о транспортной безопасности), Требованиями № 924, пришел к выводу, что оспариваемое предписание соответствует положениям действующего законодательства и не нарушает права и законные интересы предпринимателя, с чем согласились суды апелляционной инстанции и округа. Судебные инстанции исходили из установленных обстоятельств, а именно, что предприниматель оказывает услуги по перевозке пассажиров и багажа автомобильным транспортом по заказу, имеет в собственности и в аренде автобусы для перевозки пассажиров и багажа, основными видами деятельности согласно классификаторов кодов ОКВЭД являются «внутригородские и пригородные перевозки пассажиров», «деятельность автобусного транспорта по регулярным внутригородским и пригородным пассажирским перевозкам», дополнительными видами деятельности «техническое обслуживание и ремонт автотранспортных средств» и «деятельность такси», и соответственно на него возлагается обязанность по 3 принятию всех зависящих от него мер по соблюдению правил и норм в области транспортной безопасности. Доводы, изложенные в кассационной жалобе, повторяют позицию предпринимателя по спору, являлись предметом рассмотрения судов, получили надлежащую правовую оценку с учетом установленных обстоятельств. Приведенные обществом доводы не подтверждают существенных нарушений норм материального и процессуального права, повлиявших на исход дела, выражают несогласие с выводами судов по фактическим обстоятельствам дела и направлены на их переоценку, что не может служить основанием для отмены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Добединой Наталье Ивановне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