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Фассахова Ильмира Фидарисовна обратилась в суд с заявлением о признании недействительными сделками перечислений должником в пользу Кравченко А.А. денежных средств в сумме 13 511 524 рубля 70 копеек, совершенных в период с 07.03.2017 по 13.12.2017, и применении последствий недействительности сделки в виде взыскания в конкурсную массу должника денежных средств в указанном размере. Определением Арбитражного суда Республики Башкортостан от 07.08.2020, оставленным без изменения постановлениями Восемнадцатого арбитражного апелляционного суда от 09.02.2021 и Арбитражного суда Уральского округа от 16.06.2021, заявление удовлетворено. Не согласившись с данными судебными актами, Кравченко А.А. обратилась в Верховный Суд Российской Федерации с кассационной жалобой, впоследствии заявив ходатайство о приостановлении исполнения обжалуемых определения суда первой инстанции и постановлении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Кравченко Аруны Анатольевны о приостановлении исполнения определения Арбитражного суда Республики Башкортостан от 07.08.2020 по делу № А07-25841/2018, оставленным без изменения постановление Восемнадцатого арбитражного суда от 09.02.2021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