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правопредшественник общества обратился в суд с жалобой на действия конкурсного управляющего должником, связанные с привлечением адвокатов и сотрудников Московской коллегии адвокатов «Кворум» и оплатой юридических услуг. При новом рассмотрении спора в части требований о взыскания стоимости оплаченных услуг определением Арбитражного суда города Москвы от 19.08.2020, оставленным без изменения постановлениями Девятого арбитражного апелляционного суда от 30.11.2020 и Арбитражного суда Московского округа от 04.03.2021,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обособленный спор направить на новое рассмотрение в Арбитражный суд город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189.78 и 189.84 Федерального закона от 26.10.2002 № 127-ФЗ «О несостоятельности (банкротстве)», исходили из недоказанности причин для удовлетворения требования по заявленным основаниям.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«Автоцентр»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