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залоговый кредитор обратился в суд с заявлением о взыскании с финансового управляющего имуществом должника Коноваловой Марии Андреевны 255 000 рублей судебных расходов на оплату услуг представителя в связи с рассмотрением обособленного спора, инициированного финансовым управляющим. Определением Арбитражного суда Красноярского края от 15.10.2020, оставленным без изменения постановлениями Третьего арбитражного апелляционного суда от 17.12.2020 и Арбитражного суда Восточно-Сибирского округа от 05.03.2021,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Красноярского края.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статьями 101, 106, 110 Арбитражного процессуального кодекса Российской Федерации, статьями 110, 137, 213.26 Федерального закона от 26.10.2002 № 127-ФЗ «О несостоятельности (банкротстве)» и исходили из отсутствия оснований для удовлетворения заявления о взыскании судебных расходов непосредственно с финансового управляющего имуществом должника, а подлежащих возмещению за счёт конкурсной массы последнего.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Кусиньшу Янису Яновичу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