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Москвы с иском к обществу с ограниченной ответственностью «Промактив» (далее – Общество) о взыскании 1 415 750 рублей задолженности, 1 510 360 рублей неустойки за период с 19.02.2019 по 15.04.2019, неустойки, начисляемой по день фактического исполнения обязательства, также с требованием произвести частичное процессуальное правопреемство по делу № А40-100375/2013 и заменить государственное бюджетное учреждение города Москвы «Жилищник района Войковский» (далее – Учреждение) на Предпринимателя. К участию в деле в качестве третьего лица, не заявляющего самостоятельных требований относительно предмета спора, привлечено Учреждение. Решением Арбитражного суда города Москвы от 12.07.2019, оставленным без изменения постановлением Девятого арбитражного апелляционного суда от 24.09.2019, заявленные требования удовлетворены частично: с Общества в пользу Предпринимателя взыскано 1 415 750 рублей задолженности, 87 153 рубля неустойка, а также неустойка, начисленная в размере 1/130 ставки рефинансирования ЦБ РФ, начиная с 16.04.2019 по день фактического исполнения обязательства. В удовлетворении остальной части требований отказано. Постановлением Арбитражного суда Московского округа от 24.12.2019 решение от 12.07.2019 и постановление от 24.09.2019 отменены в части удовлетворения требований, дело в отмененной части направлено на новое рассмотрение в Арбитражный суд города Москвы. В остальной части названные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удовлетворить требования в полном объеме, ссылаясь на существенное нарушение судами норм материального и процессуального права. В обоснование доводов жалобы заявитель указывает, что у суда первой инстанции не имелось правовых оснований для несовершения процессуального правопреемства. По мнению Предпринимателя, к спорным правоотношениям не подлежал применению пункт 14 статьи 155 Жилищного кодекса Российской Федерации (далее – Жилищный кодекс) в части взыскания неустойки. Размер неустойки должен исчисляться в соответствии с условиями договора. Суды необоснованно не применили положения статей 313 , 387 Гражданского кодекса Российской Федерации (далее – Гражданский кодекс)о преемственности кредитора по обязательству.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Учреждением и Обществом заключено соглашение от 01.09.2005 № 025/28 об общем владении строением и долевом участии в расходах по его содержанию и ремонту. В связи с тем, что Общество обязанности по перечислению соответствующих платежей не исполнило в полном объеме, у него перед Учреждением образовалась задолженность, которая впоследствии была оплачена Предпринимателем. Ссылаясь на указанные обстоятельства,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313 , 387 Гражданского кодекса, суды первой и апелляционной инстанции частично удовлетворили требования. Взыскав в полном объеме образовавшуюся задолженность, суды при расчете подлежащей взысканию неустойки руководствовались пунктом 14 статьи 155 Жилищного кодекса, отказав в применении договорной меры ответственности. Также судами было отказано в удовлетворении требования истца о процессуальном правопреемстве по делу № А40-100375/2013, указав, что вопрос о процессуальном правопреемстве должен рассматриваться в рамках дела, в котором спорные правоотношения были установлены.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в части удовлетворения требований, направил дело в названной части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 учетом положений статьи 10 Гражданского кодекса и разъяснений, изложенных в пункте 21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не проверили доводы Общества о том, что Предприниматель своими действиями пытается установить контроль над недвижимым и иным имуществом Общества по причине наличия длительного конфликта с руководителем указанного юридического лица. Суд округа признал ошибочными выводы судов о том, что к ответчику следует применять ответственность, предусмотренную пунктом 14 статьи 155 Жилищного кодекса Российской Федерации, поскольку истец не является наймодателем жилого помещения, управляющей организацией, иным юридическим лицом или индивидуальным предпринимателем, которому в соответствии с Жилищным кодексом Российской Федерации вносится плата за жилое помещение и коммунальные услуги. Судами также не учтено, что несмотря на оплату за ответчика долга в пользу третьего лица, истец не заменил Учреждение в спорных правоотношениях. При новом рассмотрении стороны не лишены права приводить доводы и возражения в соответствии со статьей 41 Арбитражного процессуального кодекса Российской Федерации.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"ПромАктив" (подробнее) Иные лица: ГОСУДАРСТВЕННОЕ БЮДЖЕТНОЕ УЧРЕЖДЕНИЕ ГОРОДА МОСКВЫ "ЖИЛИЩНИК РАЙОНА ВОЙКОВСКИЙ" (подробнее) Последние документы по делу: Определение от 5 июля 2021 г. по делу № А40-99692/2019 Определение от 17 марта 2020 г. по делу № А40-99692/2019 Показать все документы по этому делу Судебная практика по: Злоупотребление правом Судебная практика по применению нормы ст. 10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