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Московской области от 07.08.2020, оставленным без изменения постановлением Десятого арбитражного апелляционного суда от 15.12.2020 и постановлением Арбитражного суда Московского округа от 17.03.2021, исковые требования удовлетворены. В кассационной жалобе, поданной в Верховный Суд Российской Федерации, общество, ссылаясь на незаконность указанных судебных актов, просит их отменить и направить дело на новое рассмотрение.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2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Удовлетворяя исковые требования, суды первой и апелляционной инстанций, оценив по правилам статьи 71 Арбитражного процессуального кодекса Российской Федерации представленные в материалы дела доказательства, руководствовались статьями 421, 422, 434, 438, 445, 446, 453 Гражданского кодекса Российской Федерации, статьей 161 Жилищного кодекса Российской Федерации и, исходя из конкретных обстоятельств данного спора, учитывая, что общество (региональный оператор) своими действиями посредством корректировки размеров спорных помещений приняло предлагаемые компанией условия, пришли к выводу об отсутствии у ответчика оснований для отказа в заключении дополнительного соглашения к договору. С данными выводами согласился суд округа. Доводы кассационной жалобы не подтверждают существенных нарушений норм материального и (или) процессуального права, повлиявших на исход дела, и не являются достаточным основанием для отмены обжалуемых судебных актов.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«ЭкоЛайн-Воскресенск»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