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14.09.2020 иск удовлетворен. Постановлением Пятнадцатого арбитражного апелляционного суда от 04.12.2020 решение суда первой инстанции отменено, в удовлетворении иска отказано. Постановлением Арбитражного суда Северо-Кавказского округа от 10.03.2021 постановление суда апелляционной инстанции оставлено без изменения. 2 В кассационных жалобах, поданных в Верховный Суд Российской Федерации, общество и Юлдашева Л.Г., ссылаясь на нарушение судами апелляционной инстанции и округа норм материального и процессуального права, просят отменить их постановления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кассационных жалоб не установлено. Отменяя решение суда первой инстанции и отказывая в удовлетворении иска, суд апелляционной инстанции,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15, 1064 Гражданского кодекса Российской Федерации, статьей 162 Жилищного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исходил из отсутствия доказательств неисполнения товариществом обязанности по надлежащему содержанию общего имущества многоквартирного жилого дома, а также подтвержденности факта того, что общество чинило препятствия товариществу в осуществлении предусмотренных законодательством обязанностей по ремонту общедомовых систем дома. Суд округа согласился с выводами апелляционного суда. Доводы кассационных жалоб не опровергают выводы судов апелляционной инстанции и округа,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«Компарон» и Юлдашевой Людмилы Георгиевны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