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Лопухова Н.М. обратилась в суд с заявлением о включении в первую очередь реестра требований кредиторов должника (далее – реестр) 397 514 рублей 88 копеек. Определением Арбитражного суда Краснодарского края от 20.08.2020, оставленным без изменения постановлениями Пятнадцатого арбитражного апелляционного суда от 03.12.2020 и Арбитражного суда Северо-Кавказского округа от 04.03.2021, в удовлетворении заявления отказано. В кассационной жалобе, поданной в Верховный Суд Российской Федерации, заявитель просит передать её вместе с делом на рассмотрение Судебной коллегии Верховного Суда Российской Федерации на предмет отмены обжалуемых судебных актов.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402, 834, 836, 837 Гражданского кодекса Российской Федерации, статьями 189.85, 189.86 Федерального закона от 26.10.2002 № 127-ФЗ «О несостоятельности (банкротстве)», пунктами 26, 27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отсутствия оснований для начисления процентов по вкладу, заявленных ко включению в реестр, после истечения срока действия соответствующего договора банковского вклада и обращения заявителя в банк за возвратом денежных средств,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Лопуховой Наталье Максимовне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