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сделок, заключенных между обществом с ограниченной ответственностью «Энерготраст» и должником: договора поставки т/э-3 от 01.03.2016, договора поставки т/э от 01.09.2015, договора т/э-2 от 11.01.2016, договора поставки № п/1 от 15.05.2015, договора поставки п/2 от 15.07.2015, договора ТN/3/1 от 22.06.2015, договора ТN/4/1 от 24.07.2015, договора ТN 2/1 от 04.06.2015, договора т/э-2 от 11.01.2016, договора ТN 5/1 от 11.01.2016, применении последствий недействительности сделок в виде возврата на расчётный счёт должника денежных средств в размере 69 065 659 рублей 50 копеек. Определением Арбитражного суда Московской области от 14.10.2019, оставленным без изменения постановлениями Десятого арбитражного апелляционного суда от 16.01.2020 и Арбитражного суда Московского округа от 28.05.2020,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пунктами 1,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установил, что оспариваемые сделки совершены безвозмездно неплатёжеспособным должником в пользу заинтересованного лица с целью причинения вреда кредиторам посредством уменьшения конкурсной массы, и пришел к выводу о необходимости удовлетворения заявления конкурсного управляющего. С данными выводами впоследствии согласились суды апелляционной инстанции и округа, указав на не раскрытие сторонами действительных мотивов совершения сделок и их экономической целесообразности, в том числе отсутствие доказательств реальности возникших между сторонами правоотношений.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ПАУ ЦФО (подробнее) Ассоциация "Саморегулируемая Организация Арбитражных управляющих Центркадьного Федерального округа" (подробнее) Инспекция Федеральной налоговой службы по г. Сергиеву Посаду Московской области (подробнее) ООО "ГУСТРОЙ" (подробнее) ООО " Димакс авто" (подробнее) ООО К/У "ТРЕНЗА" Кузнецов А.М. (подробнее) Ответчики: ООО "ТРЕНЗА" (подробнее) Иные лица: АО Обороностройпроект (подробнее) АССОЦИАЦИЯ САМОРЕГУЛИРУЕМАЯ ОРГАНИЗАЦИЯ АРБИТРАЖНЫХ УПРАВЛЯЮЩИХ "МЕЖРЕГИОНАЛЬНЫЙ ЦЕНТР ЭКСПЕРТОВ И ПРОФЕССИОНАЛЬНЫХ УПРАВЛЯЮЩИХ" (подробнее) ВОЛКОВА.О.А (подробнее) ООО "Энерготранс"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