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20.08.2020, оставленным без изменения постановлениями Семнадцатого арбитражного апелляционного суда от 01.12.2020 и Арбитражного суда Уральского округа от 15.03.2021,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2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корпорацией (заказчик) в связи с нарушением обществом (поставщик) условий контракта на основании пункта 2.4.10 контракта начислены проценты за пользование коммерческим кредитом в сумме 113 927 860 рублей 43 копеек, неустойка на основании пункта 9.5 контракта за нарушение сроков поставки в сумме 13 719 058 рублей 75 копеек, а также штраф. В обоснование иска обществом указано, что установленные пунктом 2.4.10 контракта проценты по существу являются неустойкой и их размер явно несоразмерен последствиям нарушения обязательства. Оценив представленные в материалы дела доказательства, истолковав по правилам статьи 431 Гражданского кодекса положение пункта 2.4.10 контракта в совокупности и системной взаимосвязи с иными его условиями, суды, руководствуясь положениями статей 309, 421, 809, 823 Гражданского кодекса, принимая во внимание правовые позиции, изложенные в пункте 12 постановления Пленума Верховного Суда Российской Федерации и Пленума Высшего Арбитражного Суда Российской Федерации от 08.10.1998 № 13/14 «О практике применения положений Гражданского кодекса Российской Федерации о процентах за пользование чужими денежными средствами», пришли к выводу об отсутствии оснований для удовлетворения иска. Судебные инстанции исходили из того, что оспариваемая обществом сумма является платой за коммерческий кредит, не является мерой ответственности и не может быть снижена по правилам статьи 333 Гражданского кодекса. При исследовании обстоятельств дела установлено, что при заключении спорного контракта стороны предусмотрели обязанность поставщика уплачивать проценты на сумму аванса в качестве платы за коммерческий кредит (статья 823 Гражданского кодекса), о чем свидетельствует буквальное содержание данного пункта контракта; заключая контракт, общество согласилось с его условиями, в том числе касающихся начисления процентов за 3 пользование коммерческим кредитом, с предложением к заказчику об изменении условий контракта не обращалось. Вопреки позиции общества, по своей правовой природе проценты по коммерческому кредиту в отличие от неустойки не являются мерой ответственности, в связи с чем требование о взыскании процентов является платой за пользование авансом как коммерческим кредитом (общество не оспаривает факт получения аванса), а требование о взыскании неустойки является ответственностью за несвоевременное исполнение обязательств по договору. То обстоятельство, что начисление процентов поставлено в зависимость от просрочки исполнения поставщиком обязательств, в том числе к определенному договором сроку, то есть прекращение действия бесплатного (льготного) периода пользования авансом обусловлено исключительно действиями (бездействием) поставщика, не может быть истолковано в контексте применения дополнительной меры ответственности по отношению к неустойке, согласованной в пункте 9.5 контракта. Выводы суда соответствуют правовой позиции, изложенной в определении Судебной коллегии по экономическим спорам Верховного Суда Российской Федерации от 19.12.2017 № 306-ЭС17-16139, о том, что если договор содержит условие о выплате процентов по коммерческому кредиту в случае ненадлежащего исполнения обязательства и за это же нарушение в нем предусмотрена неустойка, то проценты по коммерческому кредиту взыскиваются наряду с неустойкой. С учетом изложенного, приведенные в жалобе доводы не опровергают выводы судов и не подтверждают существенных нарушений норм материального и норм процессуального права, повлиявших на исход дела. По существу доводы жалобы основаны на ошибочном толковании положений законодательства и несогласии с установленными судами фактическими обстоятельствами спора,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акционерного общества «Научно-производственное объединение «Мир»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