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24.07.2020, оставленным без изменения постановлениями Девятого арбитражного апелляционного суда от 18.11.2020 и Арбитражного суда Московского округа от 21.04.2021, в удовлетворении иска отказано. В кассационной жалобе, поданной в Верховный Суд Российской Федерации, департамент ставит вопрос об отмене принятых по делу судебных актов, ссылаясь на нарушение судами норм права, неполное выяснение обстоятельств, имеющих значение для дела, ненадлежащую оценку доказательств.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и обществом заключен договор от 24.12.2012 № 8/3-1079мп-12 о предоставлении начинающим предпринимателям целевых бюджетных средств в форме субсидии. На основании договора департаментом предоставлена субсидия в целях реализации проекта «Производство клеевых композиций для легкой и строительной промышленности» в размере 500 000 рублей. В обоснование иска департамент ссылался на то, что в нарушение условий договора общество не обеспечило выполнение в полном объеме комплекса мероприятий, предусмотренных проектом, в том числе не достигло социально-экономических показателей реализации проекта и не предоставило департаменту необходимую отчетную документацию. Исследовав и оценив представленные в материалы дела доказательства, руководствуясь положениями статей 195, 196, 199, 200 Гражданского кодекса Российской Федерации, с учетом разъяснений, изложенных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об отсутствии оснований для удовлетворения иска. Судебные инстанции исходили из пропуска департаментом срока исковой давности. Доводы, изложенные в кассационной жалобе, основаны на неверном толковании норм материального права, повторяют позицию департамента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3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