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06.10.2020, оставленным без изменения постановлениями Десятого арбитражного апелляционного суда от 02.12.2020 и Арбитражного суда Московского округа от 01.04.2021,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2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внеплановой выездной проверки соблюдения обществом (застройщик) требований Федерального закона от 30.12.2004 № 214-ФЗ «Об участии в долевом строительстве многоквартирных домов и иных объектов недвижимости» (далее – Закон № 214-ФЗ) при осуществлении строительства объектов долевого строительства управлением выдано оспариваемое предписание. Основанием для выдачи предписания послужил вывод управления о том, что общество использовало денежные средства участников долевого строительства не по целевому назначению, в связи с чем на общество возложена обязанность возвратить денежные средства участников долевого строительства на расчетный счет застройщика и капитализировать их в объект строительства. Исследовав обстоятельства дела и оценив имеющиеся доказательства, руководствуясь положениями пункта 2 статьи 1, статьи 18 Закона № 214-ФЗ, суды пришли к выводу о том, что оспариваемое предписание является законным, обоснованным и исполнимым, не нарушает права и законные интересы заявителя, направлено на защиту прав и интересов участников долевого строительства. При этом судебные инстанции исходили из того, что денежные средства с расчетного счета застройщика, открытого в отношении конкретного разрешения на строительство и конкретного объекта строительства, были списаны во исполнение обязательств застройщика по договору генерального подряда, заключенному по иному объекту строительства. Суды указали, что отдельный расчетный счет застройщика, открытый в уполномоченном банке в отношении отдельного разрешения на строительство, имеет специальное назначение, и денежные средства, находящиеся на нем, включают в себя денежные средства граждан и юридических лиц для долевого строительства указанного в данном разрешении на строительство многоквартирного дома и (или) иных объектов недвижимости, для возмещения затрат на такое строительство. Законодательство содержит прямой запрет на списание банком с такого счета застройщика денежных средств в целях обеспечения исполнения собственных обязательств застройщика перед третьими лицами, не связанных с привлечением денежных средств участников долевого строительства и со строительством (созданием) многоквартирного дома. Доводы, изложенные в кассационной жалобе, являлись предметом рассмотрения судов и получили надлежащую правовую оценку, направлены на переоценку фактических обстоятельств спора, не опровергают выводы судов, 3 не свидетельствуют о нарушении норм материального и (или) процессуального права при рассмотрении настоящего дела. Несогласие заявителя с выводами суда,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«Инфинити»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