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27.07.2020, оставленным без изменения постановлениями Одиннадцатого арбитражного апелляционного суда от 13.10.2020 и Арбитражного суда Поволжского округа от 04.03.2021, требование акционерного общества «Газпромбанк» (далее – банк) в размере 2 293 666 844 рубля 39 копеек, в том числе в размере 16 000 000 рублей как обеспеченное залогом имущественных прав (прав требования) по договору залога от 28.12.2018 № 4714-23/К/ДЗИП-05, включено в состав третьей очереди реестра требований кредиторов должника (далее – реестр).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включения требований общества в реестр как обеспеченных залогом имущества.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71 и 100 Федерального закона от 26.10.2002 № 127-ФЗ «О несостоятельности (банкротстве)», исходили из обоснованности и подтверждённости требований банка.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«Росбанк»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