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признании недействительной сделкой договора от 06.05.2016 по отчуждению должником в пользу общества с ограниченной ответственностью «Тайрмен Групп» (на момент заключения договора – «СКД-Импорт») транспортного средства «БМВ 530D XDRTVE» (год выпуска 2012, VIN X4XFV154X0DS11747). Определением Арбитражного суда города Санкт-Петербурга и Ленинградской области от 23.09.2020, оставленным без изменения постановлениями Тринадцатого арбитражного апелляционного суда от 11.12.2020 и Арбитражного суда Северо-Западного округа от 03.03.2021,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10, 168 и 199 Гражданского кодекса Российской Федерации, статей 19 и 61.2 Федерального закона от 26.10.2002 № 127-ФЗ «О несостоятельности (банкротстве)», исходили из недоказанности причин для признания сделки недействительной по заявленным основаниям, а также пришли к выводу о пропуске срока исковой давности на предъявление требований, что является самостоятельным основанием к отказу в удовлетворении требований.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Касалицы Владимира Владимировича Гуляеву Сергею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