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«Специальные продукты Ру» (далее – общество) обратилась в суд с заявлением о включении в реестр требований кредиторов должника (далее – реестр) требования в размере 33 486 031 рубля 80 копеек. Определением Арбитражного суда города Москвы от 23.10.2020, оставленным без изменения постановлениями Девятого арбитражного апелляционного суда от 24.12.2020 и Арбитражного суда Московского округа от 10.03.2021, требование признано обоснованным и подлежащим включению в третью очередь реестра.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71 и 100 Федерального закона от 26.10.2002 № 127-ФЗ «О несостоятельности (банкротстве)», пришли к выводу об обоснованности и подтверждённости требований общества.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Доводы заявителя были предметом рассмотрения судов и получили надлежащую оценку, отклонены как несостоятельные с подробным изложением мотивов отклонения.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Курицыну Дмитрию Аркадьевичу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