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управления на вышеуказанные судебные акты. До рассмотрения кассационной жалобы от управления поступило ходатайство о ее возвращении без рассмотрения по существу. Из материалов кассационного производства усматривается, что отзыв кассационной жалобы не противоречит закону и не нарушает прав других лиц. С учетом изложенного ходатайство управления о возвращении кассационной жалобы подлежит удовлетворению, а жалоба - возврату без рассмотрения по существу. Руководствуясь статьями 184 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Управления Федеральной антимонопольной службы по Калининградской области о возвращении кассационной жалобы без рассмотрения по существу. Кассационную жалобу на решение Арбитражного суда Калининградской области от 03.08.2020, постановление Тринадцатого арбитражного апелляционного суда от 17.12.2020 и постановление Арбитражного суда Северо-Западного округа от 12.04.2021 по делу № А21-1669/2020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