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08.07.2020 исковое требование о взыскании 5 640 553 рублей 35 копеек оставлено без рассмотрения; в удовлетворении остальной части иска отказано. Постановлением Четвертого арбитражного апелляционного суда от 22.10.2020 , оставленным без изменения постановлением Арбитражного суда Восточно-Сибирского округа от 10.03.2021, решение суда от 08.07.2020 отменено в части отказа во взыскании 6 792 572 рублей 57 копеек, в данной части принят новый судебный акт, которым с общества в пользу управления взыскано 6 792 572 рубля 57 копеек. В остальной части решение суда первой инстанции оставлено без изменения.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постановления апелляционного суда и суда округа, оставить в силе решение суда первой инстанции.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условиям заключенного сторонами государственного контракта № 0281 от 27.06.2016 общество (проектировщик) обязалось по заданию управления (заказчик) разработать проектно-сметную документацию по реконструкции здания Ангарского городского суда. Цена контракта в редакции дополнительных соглашений составила 13 969 988 рублей 35 копеек, срок выполнения работ до 05.10.2016. При этом контракт вступает в силу с момента его подписания сторонами и действует до полного выполнения принятых на себя обязательств, но не позднее 31.12.2016, а в части расчётов - до полного исполнения обязательств. Результатом выполненных работ, который подлежит передаче заказчику, является проектная документация, разработанная в соответствии с заданием на проектирование и нормативными документами, и получившая положительные заключения государственной и экологической экспертиз. По актам выполненных работ № 8174 от 03.10.2016, № 8197 от 10.10.2016, № 8185 от 10.10.2016, № 8224 от 01.12.2016, № 8225 от 01.12.2016 управление приняло у общества разработанную проектную документацию, а по акту № 8244 от 03.03.2017 - положительное заключение экологической экспертизы. Стоимость работ составила 12 433 125 рублей 92 копейки, оплата произведена управлением платёжными поручениями за период с 24.10.2016 по 30.03.2017. Поскольку положительное заключение государственной экспертизы в отношении разработанной проектно-сметной документации управлением от общества не получено, управление письмами от 24.10.2019 и от 19.05.2020 уведомило общество о расторжении контракта и возвращении полученной по контракту оплаты. Неисполнение обязательств по контракту явилось основанием для обращения управления в арбитражный суд. Оставляя исковые требования без рассмотрения в части взыскания с ответчика 5 640 553 рублей 35 копеек, суд первой инстанции исходил из того, что оплата, произведенная истцом до момента принятия судом заявления о признании ответчика несостоятельным (банкротом), относится к реестровым 3 платежам, и требование о взыскании долга в данной части подлежит рассмотрению в деле о банкротстве ответчика. Отказывая в удовлетворении остальной части исковых требований, суд пришел к выводу о пропуске истцом срока исковой давности, течение которого началось с даты подписания сторонами последнего акта о приёмке работ – 01.12.2016, в то время как иск заявлен 24.12.2019. Суд апелляционной инстанции согласился с выводом суда первой инстанции о наличии оснований для оставления исковых требований о взыскании 5 640 553 рублей 35 копеек без рассмотрения. В тоже время, отменяя решение суда в части отказа во взыскании 6 792 572 рублей 57 копеек, суд апелляционной инстанции, руководствуясь положениями статей 8, 12, 196, 197, 199, 200, 307, 309, 310, 450, 453, 702, 708, 709, 711, 720, 721, 725, 763, 768, 1102 Гражданского кодекса Российской Федерации; статей 34, 94, 95 Федерального закона от 05.04.2013 № 44-ФЗ «О контрактной системе в сфере закупок товаров, работ, услуг для обеспечения государственных и муниципальных нужд», пришел к выводу о том, что срок исковой давности управлением не пропущен, поскольку о нарушении своего права на возврат спорных платежей истец мог узнать после 24.10.2019 - даты фактического расторжения контракта, но не ранее 31.12.2016 - даты формального прекращения исполнения контракта согласно его условиям, а иск заявлен 24.12.2019. Как указал суд апелляционной инстанции, поскольку результат работ, предусмотренный прекратившим действие контрактом, ответчик истцу не передал, спорные платежи подлежат возврату. Доводы заявителя, изложенные в жалобе, являлись предметом рассмотрения судов и им дана надлежащая правовая оценка. Изложенные в жалобе доводы не свидетельствуют о существенных нарушениях судами норм материального и процессуального права, повлиявших на исход дела, выражают несогласие с выводами судов по фактическим обстоятельствам спора и направлены на переоценку установленных судами обстоятельств,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«Территориальный проектный институт «Омскгражданпроект»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