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17.07.2020, оставленным без изменения постановлениями Девятого арбитражного апелляционного суда от 06.11.2020 и Арбитражного суда Московского округа от 09.03.2021,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оказание услуг по уборке комплекса зданий, в связи с чем департаментом (заказчик) в адрес общества направлен проект контракта. Поскольку заявителем не исполнена обязанность по надлежащему предоставлению обеспечения исполнения контракта, заказчик обратился в антимонопольный орган с информацией о поставщике, признанном уклонившимся от заключения контракта по итогам электронного аукциона. По результатам рассмотрения представленных сведений антимонопольным органом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37, 45, 83.2,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том, что оспариваемый ненормативный правовой акт управления соответствует действующему законодательству и не нарушает права и интересы заявителя. Судебные инстанции исходили из того, что обществом в соответствии с требованиями и сроками, установленными в Законе о контрактной системе, не предоставлено обеспечение исполнения контракта до его заключения. Установив, что снижение цены контракта по заявке общества составило 51,60 %, суды отметили, что участник закупки самостоятельно принял решение о снижении цены контракта в указанном размере, в связи с чем со всей степенью заботливости и осмотрительности должен был учитывать правовые последствия такого снижения, в том числе необходимость предоставления обеспечения исполнения контракта в размере, превышающем в полтора раза размер обеспечения исполнения контракта, указанный в документации о проведении аукциона (часть 1 статьи 37 Закона о контрактной системе). 3 При этом суды указали, что общество не приняло все возможные и зависящие от него меры для соблюдения норм и правил действующего законодательства, регулирующего порядок заключения государственного контракта, не проявило необходимой внимательности и осмотрительности при осуществлении своей деятельности.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«Доброта»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