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07.07.2020, оставленным без изменения постановлениями Восьмого арбитражного апелляционного суда от 29.10.2020 и Арбитражного суда Западно-Сибирского округа от 10.03.2021, заявленные требования удовлетворены. В кассационной жалобе, поданной в Верховный Суд Российской Федерации, комиссия ставит вопрос об отмене мотивировочной части постановления суда апелляционной инстанции от 29.10.2020 в части вывода о незаконности оценки корректируемой инвестиционной программы на допустимость тарифов для потребителей путем сравнения льготного тарифа с экономически обоснованным, ссылаясь на нарушение своих прав и законных интересов. В кассационной жалобе общество ставит вопрос об изменении мотивировочной части судебных актов первой, апелляционной и кассационной 2 инстанций в части отклонения его доводов о том, что решение об отказе в утверждении инвестиционной программы не может быть мотивировано органом регулирования тарифов в сфере теплоснабжения ссылкой на подпункт «а» пункта 30 Правил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электроэнергетике), утвержденных постановлением Правительства Российской Федерации от 05.05.2014 № 410 (далее – Правила № 410), с оставлением резолютивной части без изменения.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общества в арбитражный суд послужил отказ комиссии и направление на доработку инвестиционной программы на 2018-2022 годы (корректировка 2020 года). Комиссия пришла к выводу о том, что тарифы на тепловую энергию для потребителей общества с учетом расходов на реализацию мероприятий, указанных в представленной скорректированной инвестиционной программе в сфере теплоснабжения на 2020 год, являются недоступными для конечных потребителей. Удовлетворяя заявление общества,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Федерального закона от 27.07.2010 № 190-ФЗ «О теплоснабжении», Основами формирования индексов изменения размера платы граждан за коммунальные услуги в Российской Федерации, утвержденными постановлением Правительства Российской Федерации от 30.04.2014 № 400, Правилами № 410, признали отказ комиссии и направление на доработку инвестиционной программы на 2018-2022 годы (корректировка 2020 года) незаконными, с чем согласился суд округа. При исследовании обстоятельств дела установлено, что общество 3 осуществляет регулируемый вид деятельности; теплоноситель поставляется им по установленному тарифу акционерному обществу «ОмскРТС» (далее – ОА «ОмскРТС»), а последним по утвержденному для него тарифу – населению. Учитывая изложенные обстоятельства, суды пришли к выводу, что механизм формирования тарифа, по которому сетевой организацией – АО «ОмскРТС» коммунальный ресурс доводится до населения, предполагает прямую зависимость этого тарифа от тарифа общества, зависящего от содержания его инвестиционной программы (с учетом предусмотренных и возмещаемых на ее реализацию расходов). На основании изложенного, доводы общества о том, что решение об отказе в утверждении инвестиционной программы не может быть мотивировано органом регулирования тарифов в сфере теплоснабжения ссылкой на подпункт «а» пункта 30 Правил № 410, не подтверждают существенных нарушений норм материального права и норм процессуального права, повлиявших на исход дела, являлись предметом рассмотрения судов и получили надлежащую правовую оценку с учетом установленных по делу обстоятельств, в связи с чем не могут служить достаточным основанием для пересмотра судебных актов в кассационном порядке. Кроме того, суд апелляционной инстанции, делая вывод о незаконности оценки корректируемой инвестиционной программы на допустимость тарифов для потребителей путем сравнения льготного тарифа с экономически обоснованным, установил, что комиссией приняты значения, сопоставление которых всегда приведёт к выводу о превышении допустимого темпа роста размера вносимой гражданами платы за коммунальные услуги, а в связи с этим и к наличию основания, предусмотренного подпунктом «а» пункта 30 Правил № 410, для отказа в утверждении изменений в инвестиционную программу общества. При указанных обстоятельствах комиссия лишает возможности заявителя утвердить инвестиционную программу, что в условиях хозяйственной деятельности является недопустимым. Указывая на необходимость изменения содержания обжалуемого судебного акта, комиссия ссылается на нарушение судом норм материального права. Вместе с тем, жалоба не содержит доводов, свидетельствующих о том, что оспариваемые выводы апелляционного суда повлекли за собой существенное нарушение норм права, повлиявших на исход настоящего дела. Выводы суда апелляционной инстанции, изложенные в мотивировочной части постановления, не привели к принятию неправильного по существу решения и не нарушили права и законные интересы комиссии. Несогласие с мотивировочной частью принятого судебного акта само по себе не может служить достаточным основанием для его пересмотра в кассационном порядке. Нарушений норм процессуального права, являющихся безусловным основанием для отмены судебных актов, не установлено. 4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Омской области и акционерному обществу «Территориальная генерирующая компания № 11»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