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Яндемиров Максим Анатольевич обратился в суд с заявлением о признании недействительной единой сделки, оформленной посредством заключения договора уступки прав требования (цессии) между должником и Мироновой Е.Б., датированного 30.03.2015; предварительных договоров купли-продажи недвижимости от 27.05.2019 и от 26.07.2019, заключенных между Шейкиным С.И. и обществом с ограниченной ответственностью «Индустриальная – Торговая Компания» (далее – общество «ИТК»); соглашений об отступном от 09.08.2019 и от 27.09.2019, заключенных между Шейкиным С.И. и обществом «ИТК». Определением Арбитражного суда Свердловской области от 29.05.2020, оставленным без изменения постановлениями Семнадцатого арбитражного апелляционного суда от 20.07.2020 и Арбитражного суда Уральского округа от 13.10.2020, заявление удовлетворено, применены последствия недействительной сделки в виде взыскания с Мироновой Е.Б. в пользу должника денежных средств в размере 4 993 164 рубля 76 копеек, восстановления права требования Мироновой Е.Б. к обществу с ограниченной ответственностью «Гюнель» в размере 2 643 729 рублей 76 копеек и к обществу с ограниченной ответственностью «ЕвразЛес» в размере 2 349 435 рублей, 2 признания отсутствующей задолженности Шейкина С.И. перед обществом «ИТК» по предварительным договорам купли-продажи от 27.05.2019 и от 26.07.2019. В кассационной жалобе, поданной в Верховный Суд Российской Федерации, заявитель просит изменить указанное определение суда первой инстанции в части применения последствий недействительности сделки, снизив взыскиваемую в пользу должника сумму до 2 231 000 рублей.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167 Гражданского кодекса Российской Федерации, статьи 61.6 Федерального закона от 26.10.2002 № 127-ФЗ «О несостоятельности (банкротстве)», исходили из того, что должник произвёл полную оплату по договору цессии в размере 4 993 164 рубля 76 копеек.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Мироновой Елене Борисовне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