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08.09.2020, оставленным без изменения постановлениями Семнадцатого арбитражного апелляционного суда от 14.12.2020 и Арбитражного суда Уральского округа от 15.03.2021,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корпорацией (заказчик) в связи с нарушением обществом (поставщик) условий контракта на основании пункта 2.4.10 контракта начислены проценты за пользование коммерческим кредитом в сумме 147 349 479 рублей, неустойка на основании пункта 9.5 контракта за нарушение сроков поставки в сумме 48 244 549 рублей. В обоснование иска обществом указано, что установленные пунктом 2.4.10 контракта проценты по существу являются неустойкой и их размер явно несоразмерен последствиям нарушения обязательства. Оценив представленные в материалы дела доказательства, истолковав по правилам статьи 431 Гражданского кодекса положение пункта 2.4.10 контракта в совокупности и системной взаимосвязи с иными его условиями, суды, руководствуясь положениями статей 309 , 327.1 , 431 , 809 , 823 Гражданского кодекса, принимая во внимание правовые позиции, изложенные в пункте 12 постановления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пунктах 53, 76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пункте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пришли к выводу об отсутствии оснований для удовлетворения иска. Судебные инстанции исходили из того, что оспариваемая обществом сумма является платой за коммерческий кредит, не является мерой ответственности и не может быть снижена по правилам статьи 333 Гражданского кодекса. При исследовании обстоятельств дела установлено, что при заключении спорного контракта стороны предусмотрели обязанность поставщика уплачивать проценты на сумму аванса в качестве платы за коммерческий кредит (статья 823 Гражданского кодекса), о чем свидетельствует буквальное содержание данного пункта контракта; содержащееся в пункте 2.4.10 контракта указание на правовую природу аванса как коммерческого кредита является ясным, двоякого толкования не допускает. Вопреки позиции общества, по своей правовой природе проценты по коммерческому кредиту, в отличие от неустойки, не являются мерой ответственности, в связи с чем требование о взыскании процентов является платой за пользование авансом как коммерческим кредитом (общество не оспаривает факт получения аванса), а требование о взыскании неустойки является ответственностью за несвоевременное исполнение обязательств по договору. То обстоятельство, что начисление процентов поставлено в зависимость от просрочки исполнения поставщиком обязательств, в том числе к определенному договором сроку, то есть прекращение действия бесплатного (льготного) периода пользования авансом обусловлено исключительно действиями (бездействием) поставщика, не может быть истолковано в контексте применения дополнительной меры ответственности по отношению к неустойке, согласованной в пункте 9.5 контракта. Вывод судов соответствует правовой позиции, изложенной в определении Судебной коллегии по экономическим спорам Верховного Суда Российской Федерации от 19.12.2017 № 306-ЭС17-16139, о том, что если договор содержит условие о выплате процентов по коммерческому кредиту в случае ненадлежащего исполнения обязательства и за это же нарушение в нем предусмотрена неустойка, то проценты по коммерческому кредиту взыскиваются наряду с неустойкой. С учетом изложенного, приведенные в жалобе доводы не опровергают выводы судов и не подтверждают существенных нарушений норм материального и норм процессуального права, повлиявших на исход дела. По существу доводы жалобы основаны на ошибочном толковании положений законодательства и несогласии с установленными судами фактическими обстоятельствами спора,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акционерного общества «Научно-производственное объединение «Мир»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НАУЧНО-ПРОИЗВОДСТВЕННОЕ ОБЪЕДИНЕНИЕ МИР (подробнее) Ответчики: АО НАУЧНО-ПРОИЗВОДСТВЕННАЯ КОРПОРАЦИЯ УРАЛВАГОНЗАВОД ИМЕНИ Ф.Э. ДЗЕРЖИНСКОГО (подробнее) Иные лица: ООО КОММЕРЧЕСКИЙ БАНК СОВРЕМЕННЫЕ СТАНДАРТЫ БИЗНЕСА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