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Федеральная налоговая служба в лице Управления Федеральной налоговой службы по Удмуртской Республике (далее – уполномоченный орган) обратилась в суд с заявлением о включении в реестр требований кредиторов должника (далее – реестр) задолженности в размере 91 271 869 рублей 07 копеек, в том числе 68 880 280 рублей долга, 9 883 203 рубля 47 копеек пени и 12 508 385 рублей 60 копеек штрафа. Определением Арбитражного суда Удмуртской Республики от 07.09.2020, оставленным без изменения постановлениями Семнадцатого арбитражного апелляционного суда от 14.12.2020 и Арбитражного суда Уральского округа от 11.03.2021, требование признано обоснованным и подлежащим включению в состав третьей очереди реестра.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100, 142 Федерального закона от 26.10.2002 № 127-ФЗ «О несостоятельности (банкротстве)», пунктом 12 Обзора судебной практики по вопросам, связанным с участием уполномоченных органов в делах о банкротстве и применяемых в этих делах процедурах банкротства, утверждённого Президиумом Верховного Суда Российской Федерации 20.12.2016, и исходили из доказанности наличия и размера задолженности перед уполномоченным органом, предъявившим свои требования в пределах установленного законом срока.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заявителем в жалобе доводы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«Теплоинвест»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