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16.07.2020, оставленным без изменения постановлением Девятнадцатого арбитражного апелляционного суда от 03.11.2020 и постановлением Арбитражного суда Центрального округа от 25.02.2021,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удовлетворении исковых требований.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общества (подрядчик) мотивированы уклонением компании (заказчик) от принятия результата выполненных работ и уплаты задолженности по договору подряда от 22.03.2019 № 05/ЭСМ-03/19.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условия спорного договора и действия сторон по его исполнению, установив факт выполнения обществом работ с существенными и неустранимыми недостатками, которые лишают результат работ потребительской ценности, руководствуясь статьями 702, 711, 720, 721, 753 Гражданского кодекса Российской Федерации, суды первой и апелляционной инстанций пришли к выводу об отсутствии оснований для удовлетворения исковых требований, с чем впоследствии согласился суд округа. Выводы судов подробно мотивированы в обжалуемых судебных актах. Доводы заявителя кассационной жалобы фактически сводятся к изложению обстоятельств дела, которые были предметом исследования и оценки судов, не опровергают выводы судов, не подтверждают существенных нарушений судами норм материального и процессуального права, повлиявших на исход дела, и не могут служить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«Проммонтаж»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