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«Партнер» обратилось в суд с жалобой на действия (бездействие) арбитражного управляющего Сергеева М.В. в период исполнения возложенных на него обязанностей временного и конкурсного управляющего должником. Определением Арбитражного суда Московской области от 17.02.2020, оставленным без изменения постановлениями Десятого арбитражного апелляционного суда от 14.10.2020 и Арбитражного суда Московского округа от 05.03.2021, заявленные требования удовлетворены.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20.7, 60, 126, 129 Федерального закона от 26.10.2002 № 127-ФЗ «О несостоятельности (банкротстве)», исходили из доказанности несоответствия оспариваемых действий (бездействия) заявителя требованиям законодательства о банкротстве, не отвечающих критериям добросовестности и разумности, повлекших за собой нарушение прав и законных интересов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Сергееву Михаилу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