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Тверской области от 05.08.2020, оставленным без изменения постановлением Четырнадцатого арбитражного апелляционного суда от 15.12.2020 и постановлением Арбитражного суда Северо-Западного округа от 17.03.2021, в удовлетворении заявленного требования отказано. 2 В кассационной жалобе, поданной в Верховный Суд Российской Федерации, общество, ссылаясь на существенное нарушение судами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налоговым органом по результатам камеральной налоговой проверки представленного обществом уточненного расчета сумм налога на доходы физических лиц, исчисленных и удержанных налоговым агентом (форма № 6-НДФЛ) за 9 месяцев 2018 года, принято решение от 21.03.2019 № 145, которым доначислено 2 068 278 рублей налога, 142 907 рублей пени и 413 656 рублей штрафа. Решением управления от 18.07.2019 № 08-11/165 апелляционная жалоба общества оставлена без удовлетворения. Полагая, что решение налогового органа нарушает его права и законные интересы, общество обратилось в арбитражный суд, заявив одновременно ходатайство о восстановлении пропущенного процессуального срока. Оценив и исследовав представленные в материалы дела доказательства, суды первой и апелляционной инстанций, руководствуясь статьями 117, 198 Арбитражного процессуального кодекса Российской Федерации, статьей 138 Налогового кодекса Российской Федерации, пришли к выводу о пропуске обществом срока на обжалование решения инспекции, что является самостоятельным основанием для отказа в удовлетворении заявленного требования, с чем согласился суд округа. 3 Доводы общества относительно наличия уважительных причин пропуска срока, являлись предметом рассмотрения судов и им дана надлежащая правовая оценка. Изложенные в кассационной жалобе доводы не подтверждают существенных нарушений норм материального и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«Стройснаб»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