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08.11.2019 первоначальный иск удовлетворен, в удовлетворении встречного иска отказано. Постановлением Тринадцатого арбитражного апелляционного суда от 01.12.2020 решение суда первой инстанции отменено, в удовлетворении первоначального иска отказано; встречный иск удовлетворен частично, с общества в пользу бюро взыскано 2 115 087 руб. 61 коп. долга, 64 898 руб. 50 коп. расходов на оплату судебной экспертизы, 20 204 руб. расходов по уплате государственной пошлины по иску, 1256 руб. 10 коп. расходов по уплате государственной пошлины по апелляционной жалобе, в удовлетворении остальной части требований отказано. 2 Постановлением Арбитражного суда Северо-Западного округа от 02.03.2021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процессуального права, просит отменить их постановления.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заключения строительно-технической экспертизы и дополнительной экспертизы, установив, что до расторжения договора обществом бюро надлежащим образом выполнило предусмотренные договором работы стоимостью 4 915 087 руб. 67 коп., результат которых имеет для общества потребительскую ценность и им использован, учитывая сумму уплаченного последним аванса, руководствуясь статьями 309, 310, 702, 711, 1102 Гражданского кодекса Российской Федерации, суд апелляционной инстанции пришел к выводу о наличии оснований для отказа в удовлетворении первоначального иска и частичного удовлетворения встречных требований, с чем впоследствии согласился суд округа. Доводы заявителя, в том числе о несогласии с результатами судебной экспертизы не свидетельствуют о неправильном применении судами норм права, сводятся к переоценке доказательств и установлению иных обстоятельств по делу, что не входит в полномочия суда при кассационном производстве. Поскольку существенных нарушений судами норм материального и процессуального права, повлиявших на исход дела, доводы кассационной жалобы не подтверждают, оснований для ее передачи для рассмотрения в судебном заседании Судебной коллегии Верховного Суда Российской Федерации не имеется. Принимая во внимание изложенное и руководствуясь статьей 291.6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«Мосспецстрой»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