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Копылова Л.М. обратилась в суд заявлениями о пересмотре определений Арбитражного суда Республики Татарстан от 14.09.2016 и от 09.08.2017 по вновь открывшимся обстоятельствам. Определением Арбитражного суда Республики Татарстан от 13.07.2020, оставленным без изменения постановлениями Одиннадцатого арбитражного апелляционного суда от 08.12.2020 и Арбитражного суда Московского округа от 25.02.2021, в удовлетворении заявлений отказано. В кассационной жалобе, поданной в Верховный Суд Российской Федерации, заявитель просит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суды, руководствуясь статьями 309-312 Арбитражного процессуального кодекса Российской Федерации, пунктом 4 постановления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исходили из того, что приводимые в них доводы не свидетельствовали о наличии каких-либо новых или вновь открывшихся для дела обстоятельств, которые были предметом судебного разбирательства по настоящему делу и способны повлиять на выводы суда при принятии указанных для пересмотра судебных актов.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Копыловой Ларисе Михайловне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