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19.12.2019, оставленным без изменения постановлением Девятого арбитражного апелляционного суда от 12.03.2020, исковые требования удовлетворены в части взыскания 18 000 рублей неустойки за просрочку безвозмездного устранения недостатка автомобиля, 1 000 рублей убытков от оплаты первоначальным кредитором юридических услуг по составлению претензии, 206 рублей 54 копеек почтовых расходов на отправку претензии, 197 рублей 69 копеек почтовых расходов на отправку уведомления о состоявшейся цессии, 217 рублей 08 копеек почтовых расходы на отправку претензии и 5 000 рублей штрафа. Арбитражный суд Московского округа постановлением от 25.06.2020 решение от 19.12.2019 и постановление Девятого арбитражного апелляционного суда от 12.03.2020 оставил без изменения. В кассационных жалобах организация и гражданин ФИО2 просят об отмене судебных актов, ссылаясь на неосновательное уменьшение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Уменьшение неустойки в силу статьи 333 Гражданского кодекса Российской Федерации является правом суда. В рассматриваемом случае суд уменьшил неустойку в связи с обоснованным заявлением ответчика о ее несоразмерности последствиям нарушения обязательства.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региональной общественной организации инвалидов «Отрада» и гражданину ФИО2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РЕГИОНАЛЬНАЯ ИНВАЛИДОВ "ОТРАДА" (подробнее) Ответчики: ООО "АвтоГЕРМЕС-Запад" (подробнее) Судьи дела: Ксенофонтова Н.А. (судья) (подробнее) Последние документы по делу: Определение от 1 июля 2021 г. по делу № А40-53840/2019 Определение от 7 сентября 2020 г. по делу № А40-53840/2019 Показать все документы по этому делу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