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Смоленской области от 11.09.2020, оставленным без изменения постановлением Двадцатого арбитражного апелляционного суда от 19.12.2020 и постановлением Арбитражного суда Центрального округа от 12.04.2021, с компании в пользу общества взыскано 2 1 000 000 руб. убытков; с компании в доход федерального бюджета взыскано 23 000 руб. государственной пошлины; производство по делу в части требований к бюро прекращено. В кассационной жалобе, поданной в Верховный Суд Российской Федерации, компания, ссылаясь на нарушение судами норм материального и процессуального права,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 мотивирован возникновением у общества убытков, понесенных по вине ответчиков в связи с исполнением судебного акта.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вступившие в законную силу судебные акты по делу № А62-6028/2016, установив, что обществом в рамках договора о сотрудничестве осуществлено строительство жилых домов на основании проектной документации, разработанной компанией с использованием архитектурных решений (авторского замысла) мастерской в отсутствие ее согласия, руководствуясь статьями 15, 1250, 1259, 1270, 1294 Гражданского кодекса Российской Федерации, положениями Федерального закона от 17.11.1995 № 169-ФЗ «Об архитектурной деятельности в Российской Федерации», суды первой и апелляционной инстанций о наличии оснований для удовлетворения иска. Суд округа согласился с выводами судов первой и апелляционной инстанций. Довод заявителя о его ненадлежащем извещении судом округа является несостоятельным, поскольку из постановления названного суда следует, что представители компании участвовали в судебном заседании, состоявшемся 08.04.2021.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3 Поскольку в передаче кассационной жалобы для рассмотрения в судебном заседании Судебной коллегии Верховного Суда Российской Федерации отказано, ходатайство о приостановлении исполнения обжалуемых судебных актов рассмотрению не подлежит.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«Проектно-строительная компания»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