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«Крис Фруит» обратилось в Арбитражный суд Краснодарского края с иском о взыскании с индивидуального предпринимателя Одегова Виталия Евгеньевича 481 089 рублей ущерба. Индивидуальный предприниматель Одегов В.Е. обратился в Арбитражный суд Краснодарского края с встречным иском о взыскании с ООО «Крис Фруит» 68 000 рублей задолженности за оказанные услуги, 15 000 рублей задолженности за простой транспортного средства на территории грузополучателя, 5 502 рублей 92 копеек процентов за пользование чужими денежными средствами. Решением Арбитражного суда Краснодарского края от 02.12.2020 первоначальный иск удовлетворен в части взыскания с индивидуального предпринимателя в пользу общества 336 762 рублей 30 копеек; в удовлетворении первоначального иска в остальной части, а также в удовлетворении встречного иска отказано. Постановлением Пятнадцатого арбитражного апелляционного суда от 20.02.2021 решение суда первой инстанции оставлено без изменения. 2 Арбитражный суд Северо-Кавказского округа постановлением от 20.05.2021 указанные судебные акты отменил и направил дело на новое рассмотрение в Арбитражный суд Краснодарского края Общество с ограниченной ответственностью «Крис Фруит»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«Крис Фруит»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