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23.08.2021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01.07.2021 № 310-ЭС21-9671, определение Арбитражного суда Орловской области от 27.08.2020, постановление Девятнадцатого арбитражного апелляционного суда от 17.12.2020 и постановление Арбитражного суда Центрального округа от 29.03.2021 по делу № А48-6831/2019,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В отсутствие уважительных причин пропуска указанного срока ссылка заявителя на не истечение шестимесячного пресекательного срока не может быть принята во внимание.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Межрегионального территориального управления Федерального агентства по управлению государственным имуществом в Тульской, Рязанской и Орловской областях о восстановлении пропущенного процессуального срока отказать. Жалобу возвратить заявителю.Судья Верховного СудаРоссийской Федерации А.Н. Маненков Суд: Верховный Суд РФ (подробнее) Истцы: ООО УПРАВЛЯЮЩАЯ КОМПАНИЯ "РЕМОНТНОЕ СТРОИТЕЛЬНОЕ УПРАВЛЕНИЕ №1" (подробнее) Ответчики: Межрегиональное территориальное Управление Федерального агентства по управлению государственным имуществом в Тульской, Рязанской и Орловской областях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